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83A0CDC"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104bis</w:t>
      </w:r>
      <w:r w:rsidRPr="00CE0424">
        <w:tab/>
      </w:r>
      <w:r w:rsidR="00091557" w:rsidRPr="00CE0424">
        <w:rPr>
          <w:sz w:val="32"/>
          <w:szCs w:val="32"/>
        </w:rPr>
        <w:t>R</w:t>
      </w:r>
      <w:r w:rsidR="00A447CE">
        <w:rPr>
          <w:sz w:val="32"/>
          <w:szCs w:val="32"/>
        </w:rPr>
        <w:t>4</w:t>
      </w:r>
      <w:r w:rsidR="00091557" w:rsidRPr="00CE0424">
        <w:rPr>
          <w:sz w:val="32"/>
          <w:szCs w:val="32"/>
        </w:rPr>
        <w:t>-</w:t>
      </w:r>
      <w:r w:rsidR="00824F4C">
        <w:rPr>
          <w:sz w:val="32"/>
          <w:szCs w:val="32"/>
        </w:rPr>
        <w:t>2216406</w:t>
      </w:r>
    </w:p>
    <w:p w14:paraId="0CE7B7E6" w14:textId="1757C293" w:rsidR="00E90E49" w:rsidRPr="00CE0424" w:rsidRDefault="00D4554E" w:rsidP="00311702">
      <w:pPr>
        <w:pStyle w:val="3GPPHeader"/>
      </w:pPr>
      <w:r w:rsidRPr="009740F8">
        <w:t>Electronic meeting</w:t>
      </w:r>
      <w:r w:rsidR="0027144F" w:rsidRPr="009740F8">
        <w:t xml:space="preserve">, </w:t>
      </w:r>
      <w:r w:rsidRPr="009740F8">
        <w:t>October</w:t>
      </w:r>
      <w:r w:rsidR="0027144F" w:rsidRPr="009740F8">
        <w:t xml:space="preserve"> </w:t>
      </w:r>
      <w:r w:rsidR="009740F8" w:rsidRPr="009740F8">
        <w:t>10</w:t>
      </w:r>
      <w:r w:rsidR="001D53E7" w:rsidRPr="009740F8">
        <w:t xml:space="preserve">th – </w:t>
      </w:r>
      <w:r w:rsidR="009740F8" w:rsidRPr="009740F8">
        <w:t>19</w:t>
      </w:r>
      <w:r w:rsidR="001D53E7" w:rsidRPr="009740F8">
        <w:t>th</w:t>
      </w:r>
      <w:r w:rsidR="00C37CB2" w:rsidRPr="009740F8">
        <w:t xml:space="preserve"> </w:t>
      </w:r>
      <w:r w:rsidR="0027144F" w:rsidRPr="009740F8">
        <w:t>20</w:t>
      </w:r>
      <w:r w:rsidR="009740F8" w:rsidRPr="009740F8">
        <w:t>22</w:t>
      </w:r>
    </w:p>
    <w:p w14:paraId="3086AC07" w14:textId="77777777" w:rsidR="00E90E49" w:rsidRPr="00CE0424" w:rsidRDefault="00E90E49" w:rsidP="00357380">
      <w:pPr>
        <w:pStyle w:val="3GPPHeader"/>
      </w:pPr>
    </w:p>
    <w:p w14:paraId="3982483C" w14:textId="3BEA10A7"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4F300B">
        <w:rPr>
          <w:sz w:val="22"/>
          <w:lang w:val="sv-FI"/>
        </w:rPr>
        <w:t>6.17.1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5B94D2E" w:rsidR="00E90E49" w:rsidRPr="00CE0424" w:rsidRDefault="003D3C45" w:rsidP="00311702">
      <w:pPr>
        <w:pStyle w:val="3GPPHeader"/>
        <w:rPr>
          <w:sz w:val="22"/>
        </w:rPr>
      </w:pPr>
      <w:r>
        <w:rPr>
          <w:sz w:val="22"/>
        </w:rPr>
        <w:t>Title:</w:t>
      </w:r>
      <w:r w:rsidR="00E90E49" w:rsidRPr="00CE0424">
        <w:rPr>
          <w:sz w:val="22"/>
        </w:rPr>
        <w:tab/>
      </w:r>
      <w:r w:rsidR="004F300B" w:rsidRPr="004F300B">
        <w:rPr>
          <w:sz w:val="22"/>
        </w:rPr>
        <w:t>On general and deployment considerations for SBFD</w:t>
      </w:r>
    </w:p>
    <w:p w14:paraId="025260C1" w14:textId="777FE606" w:rsidR="00E90E49" w:rsidRPr="00CE0424" w:rsidRDefault="00E90E49" w:rsidP="00D546FF">
      <w:pPr>
        <w:pStyle w:val="3GPPHeader"/>
        <w:rPr>
          <w:sz w:val="22"/>
        </w:rPr>
      </w:pPr>
      <w:r w:rsidRPr="00CE0424">
        <w:rPr>
          <w:sz w:val="22"/>
        </w:rPr>
        <w:t>Document for:</w:t>
      </w:r>
      <w:r w:rsidR="004F300B">
        <w:rPr>
          <w:sz w:val="22"/>
        </w:rPr>
        <w:t xml:space="preserve"> </w:t>
      </w:r>
      <w:r w:rsidR="004F300B">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5F89205" w:rsidR="00477768" w:rsidRPr="00CE0424" w:rsidRDefault="006D6505" w:rsidP="00CE0424">
      <w:pPr>
        <w:pStyle w:val="BodyText"/>
      </w:pPr>
      <w:r>
        <w:t>The</w:t>
      </w:r>
      <w:r w:rsidR="004171E8">
        <w:t xml:space="preserve"> duplexing enhancements SI aims to study the feasibility of duplexing enhancement methods, </w:t>
      </w:r>
      <w:proofErr w:type="gramStart"/>
      <w:r w:rsidR="004171E8">
        <w:t>in particular SBFD</w:t>
      </w:r>
      <w:proofErr w:type="gramEnd"/>
      <w:r w:rsidR="004171E8">
        <w:t>.</w:t>
      </w:r>
      <w:r w:rsidR="00996184">
        <w:t xml:space="preserve"> In this contribution, we discuss some general aspects that should be </w:t>
      </w:r>
      <w:proofErr w:type="gramStart"/>
      <w:r w:rsidR="00996184">
        <w:t>taken into account</w:t>
      </w:r>
      <w:proofErr w:type="gramEnd"/>
      <w:r w:rsidR="00996184">
        <w:t xml:space="preserve"> in RAN4 when considering feasibility and RF requirements</w:t>
      </w:r>
      <w:r w:rsidR="00853809">
        <w:t>.</w:t>
      </w:r>
    </w:p>
    <w:p w14:paraId="60123794" w14:textId="44A69C96" w:rsidR="004000E8" w:rsidRDefault="00230D18" w:rsidP="00CE0424">
      <w:pPr>
        <w:pStyle w:val="Heading1"/>
      </w:pPr>
      <w:bookmarkStart w:id="0" w:name="_Ref178064866"/>
      <w:r>
        <w:t>2</w:t>
      </w:r>
      <w:r>
        <w:tab/>
      </w:r>
      <w:r w:rsidR="004000E8" w:rsidRPr="00CE0424">
        <w:t>Discussion</w:t>
      </w:r>
      <w:bookmarkEnd w:id="0"/>
    </w:p>
    <w:p w14:paraId="79BDA7CA" w14:textId="513543F1" w:rsidR="00853809" w:rsidRDefault="002828F4" w:rsidP="00996184">
      <w:pPr>
        <w:rPr>
          <w:lang w:val="en-GB" w:eastAsia="ja-JP"/>
        </w:rPr>
      </w:pPr>
      <w:r>
        <w:rPr>
          <w:lang w:val="en-GB" w:eastAsia="ja-JP"/>
        </w:rPr>
        <w:t xml:space="preserve">Duplexing enhancements and </w:t>
      </w:r>
      <w:proofErr w:type="gramStart"/>
      <w:r>
        <w:rPr>
          <w:lang w:val="en-GB" w:eastAsia="ja-JP"/>
        </w:rPr>
        <w:t>in particular SBFD</w:t>
      </w:r>
      <w:proofErr w:type="gramEnd"/>
      <w:r>
        <w:rPr>
          <w:lang w:val="en-GB" w:eastAsia="ja-JP"/>
        </w:rPr>
        <w:t xml:space="preserve"> present an interesting and promising means to improve TDD uplink performance. Benefits can include increase UL coverage</w:t>
      </w:r>
      <w:r w:rsidR="0010261C">
        <w:rPr>
          <w:lang w:val="en-GB" w:eastAsia="ja-JP"/>
        </w:rPr>
        <w:t xml:space="preserve"> by </w:t>
      </w:r>
      <w:r w:rsidR="00B312A7">
        <w:rPr>
          <w:lang w:val="en-GB" w:eastAsia="ja-JP"/>
        </w:rPr>
        <w:t xml:space="preserve">up to </w:t>
      </w:r>
      <w:r w:rsidR="0010261C">
        <w:rPr>
          <w:lang w:val="en-GB" w:eastAsia="ja-JP"/>
        </w:rPr>
        <w:t>4</w:t>
      </w:r>
      <w:r w:rsidR="00B312A7">
        <w:rPr>
          <w:lang w:val="en-GB" w:eastAsia="ja-JP"/>
        </w:rPr>
        <w:t xml:space="preserve"> </w:t>
      </w:r>
      <w:r w:rsidR="0010261C">
        <w:rPr>
          <w:lang w:val="en-GB" w:eastAsia="ja-JP"/>
        </w:rPr>
        <w:t>dB (</w:t>
      </w:r>
      <w:r w:rsidR="00857EFF">
        <w:rPr>
          <w:lang w:val="en-GB" w:eastAsia="ja-JP"/>
        </w:rPr>
        <w:t>i.e., 10</w:t>
      </w:r>
      <w:proofErr w:type="gramStart"/>
      <w:r w:rsidR="00857EFF">
        <w:rPr>
          <w:lang w:val="en-GB" w:eastAsia="ja-JP"/>
        </w:rPr>
        <w:t>log(</w:t>
      </w:r>
      <w:proofErr w:type="gramEnd"/>
      <w:r w:rsidR="00857EFF">
        <w:rPr>
          <w:lang w:val="en-GB" w:eastAsia="ja-JP"/>
        </w:rPr>
        <w:t xml:space="preserve">5 times more UL slots) – (3dB relative difference in antenna size compared to non SBFD </w:t>
      </w:r>
      <w:proofErr w:type="spellStart"/>
      <w:r w:rsidR="00857EFF">
        <w:rPr>
          <w:lang w:val="en-GB" w:eastAsia="ja-JP"/>
        </w:rPr>
        <w:t>gNB</w:t>
      </w:r>
      <w:proofErr w:type="spellEnd"/>
      <w:r w:rsidR="00857EFF">
        <w:rPr>
          <w:lang w:val="en-GB" w:eastAsia="ja-JP"/>
        </w:rPr>
        <w:t>)</w:t>
      </w:r>
      <w:r w:rsidR="00170BE2">
        <w:rPr>
          <w:lang w:val="en-GB" w:eastAsia="ja-JP"/>
        </w:rPr>
        <w:t xml:space="preserve">, improving latency by up to 2msec (2.5msec down to 0.5msec) and the ability </w:t>
      </w:r>
      <w:r w:rsidR="00B312A7">
        <w:rPr>
          <w:lang w:val="en-GB" w:eastAsia="ja-JP"/>
        </w:rPr>
        <w:t>to move DL capacity to UL.</w:t>
      </w:r>
      <w:r w:rsidR="007360A6">
        <w:rPr>
          <w:lang w:val="en-GB" w:eastAsia="ja-JP"/>
        </w:rPr>
        <w:t xml:space="preserve"> The main challenges are in managing interference towards the UL sub-bands of the SBFD slots. </w:t>
      </w:r>
      <w:r w:rsidR="000760CC">
        <w:rPr>
          <w:lang w:val="en-GB" w:eastAsia="ja-JP"/>
        </w:rPr>
        <w:t>Also,</w:t>
      </w:r>
      <w:r w:rsidR="007360A6">
        <w:rPr>
          <w:lang w:val="en-GB" w:eastAsia="ja-JP"/>
        </w:rPr>
        <w:t xml:space="preserve"> part of the feasibility study is to consider whether there are potential impacts of SBFD on </w:t>
      </w:r>
      <w:r w:rsidR="008C0A72">
        <w:rPr>
          <w:lang w:val="en-GB" w:eastAsia="ja-JP"/>
        </w:rPr>
        <w:t xml:space="preserve">deployment complexity and factors that impact </w:t>
      </w:r>
      <w:proofErr w:type="gramStart"/>
      <w:r w:rsidR="008C0A72">
        <w:rPr>
          <w:lang w:val="en-GB" w:eastAsia="ja-JP"/>
        </w:rPr>
        <w:t>operators</w:t>
      </w:r>
      <w:proofErr w:type="gramEnd"/>
      <w:r w:rsidR="008C0A72">
        <w:rPr>
          <w:lang w:val="en-GB" w:eastAsia="ja-JP"/>
        </w:rPr>
        <w:t xml:space="preserve"> operational costs.</w:t>
      </w:r>
    </w:p>
    <w:p w14:paraId="04EF9559" w14:textId="77777777" w:rsidR="0008748A" w:rsidRDefault="0008748A" w:rsidP="00996184">
      <w:pPr>
        <w:rPr>
          <w:lang w:val="en-GB" w:eastAsia="ja-JP"/>
        </w:rPr>
      </w:pPr>
    </w:p>
    <w:p w14:paraId="46D1F34B" w14:textId="0C06BE42" w:rsidR="00996184" w:rsidRPr="0008748A" w:rsidRDefault="00996184" w:rsidP="00996184">
      <w:pPr>
        <w:rPr>
          <w:u w:val="single"/>
          <w:lang w:val="en-GB" w:eastAsia="ja-JP"/>
        </w:rPr>
      </w:pPr>
      <w:r w:rsidRPr="0008748A">
        <w:rPr>
          <w:u w:val="single"/>
          <w:lang w:val="en-GB" w:eastAsia="ja-JP"/>
        </w:rPr>
        <w:t>Modelling of transmitter and receiver</w:t>
      </w:r>
    </w:p>
    <w:p w14:paraId="41B03F76" w14:textId="63041201" w:rsidR="00996184" w:rsidRDefault="0008748A" w:rsidP="00996184">
      <w:pPr>
        <w:rPr>
          <w:lang w:val="en-GB" w:eastAsia="ja-JP"/>
        </w:rPr>
      </w:pPr>
      <w:r>
        <w:rPr>
          <w:lang w:val="en-GB" w:eastAsia="ja-JP"/>
        </w:rPr>
        <w:t xml:space="preserve">The key issue </w:t>
      </w:r>
      <w:proofErr w:type="gramStart"/>
      <w:r>
        <w:rPr>
          <w:lang w:val="en-GB" w:eastAsia="ja-JP"/>
        </w:rPr>
        <w:t>in regard to</w:t>
      </w:r>
      <w:proofErr w:type="gramEnd"/>
      <w:r>
        <w:rPr>
          <w:lang w:val="en-GB" w:eastAsia="ja-JP"/>
        </w:rPr>
        <w:t xml:space="preserve"> the basic feasibility of </w:t>
      </w:r>
      <w:r w:rsidR="00BD369B">
        <w:rPr>
          <w:lang w:val="en-GB" w:eastAsia="ja-JP"/>
        </w:rPr>
        <w:t xml:space="preserve">SBFD is the ability to supress interference from the downlink sub-band to the uplink sub-band. Emissions from the DL transmitter may be supressed by means of </w:t>
      </w:r>
      <w:r w:rsidR="002F6B97">
        <w:rPr>
          <w:lang w:val="en-GB" w:eastAsia="ja-JP"/>
        </w:rPr>
        <w:t xml:space="preserve">TX-RX antenna isolation, RF suppression of emissions and analogue / digital interference cancellation techniques. Interference relating to the receiver may be supressed by means of TX-RX antenna suppression, </w:t>
      </w:r>
      <w:r w:rsidR="00D03B07">
        <w:rPr>
          <w:lang w:val="en-GB" w:eastAsia="ja-JP"/>
        </w:rPr>
        <w:t>enhanced receiver designs that provide greater linearity, greater dynamic range, reduced phase noise etc. and potentially analogue and digital interference cancellation.</w:t>
      </w:r>
    </w:p>
    <w:p w14:paraId="2E33A973" w14:textId="5886D572" w:rsidR="00D03B07" w:rsidRDefault="002A2EDD" w:rsidP="00996184">
      <w:pPr>
        <w:rPr>
          <w:lang w:val="en-GB" w:eastAsia="ja-JP"/>
        </w:rPr>
      </w:pPr>
      <w:proofErr w:type="gramStart"/>
      <w:r>
        <w:rPr>
          <w:lang w:val="en-GB" w:eastAsia="ja-JP"/>
        </w:rPr>
        <w:t>In order to</w:t>
      </w:r>
      <w:proofErr w:type="gramEnd"/>
      <w:r>
        <w:rPr>
          <w:lang w:val="en-GB" w:eastAsia="ja-JP"/>
        </w:rPr>
        <w:t xml:space="preserve"> properly quantify the feasibility of emissions suppression, enhanced reception and interference cancellation techniques it is highly important to have a proper model of what it is that is to be supressed / cancelled. As an example, cancelling the IM products of a PA modelled using a RAPP model is </w:t>
      </w:r>
      <w:r w:rsidR="00A01061">
        <w:rPr>
          <w:lang w:val="en-GB" w:eastAsia="ja-JP"/>
        </w:rPr>
        <w:t>a problem that is of a much lower order of magnitude than cancelling the output of a commercial, optimised BS transmitter including CFR, DPD, filtering etc. over multiple carriers and bands.</w:t>
      </w:r>
      <w:r w:rsidR="00B26E68">
        <w:rPr>
          <w:lang w:val="en-GB" w:eastAsia="ja-JP"/>
        </w:rPr>
        <w:t xml:space="preserve"> </w:t>
      </w:r>
      <w:r w:rsidR="004B12A4">
        <w:rPr>
          <w:lang w:val="en-GB" w:eastAsia="ja-JP"/>
        </w:rPr>
        <w:t>Thus,</w:t>
      </w:r>
      <w:r w:rsidR="00B26E68">
        <w:rPr>
          <w:lang w:val="en-GB" w:eastAsia="ja-JP"/>
        </w:rPr>
        <w:t xml:space="preserve"> for a proper evaluation of the potential of suppression and cancellation it is essential to have a good description of the major TX and RX processes.</w:t>
      </w:r>
    </w:p>
    <w:p w14:paraId="78961C62" w14:textId="60BF2611" w:rsidR="008E10F5" w:rsidRDefault="008E10F5" w:rsidP="008E10F5">
      <w:pPr>
        <w:pStyle w:val="Proposal"/>
        <w:rPr>
          <w:lang w:val="en-GB"/>
        </w:rPr>
      </w:pPr>
      <w:bookmarkStart w:id="1" w:name="_Toc115107057"/>
      <w:r>
        <w:rPr>
          <w:lang w:val="en-GB"/>
        </w:rPr>
        <w:t xml:space="preserve">Frameworks and model for TX and RX processes to be agreed </w:t>
      </w:r>
      <w:proofErr w:type="gramStart"/>
      <w:r>
        <w:rPr>
          <w:lang w:val="en-GB"/>
        </w:rPr>
        <w:t>in order to</w:t>
      </w:r>
      <w:proofErr w:type="gramEnd"/>
      <w:r>
        <w:rPr>
          <w:lang w:val="en-GB"/>
        </w:rPr>
        <w:t xml:space="preserve"> properly assess interference suppression and </w:t>
      </w:r>
      <w:r w:rsidR="004B12A4">
        <w:rPr>
          <w:lang w:val="en-GB"/>
        </w:rPr>
        <w:t>cancellation</w:t>
      </w:r>
      <w:r>
        <w:rPr>
          <w:lang w:val="en-GB"/>
        </w:rPr>
        <w:t xml:space="preserve"> gains</w:t>
      </w:r>
      <w:bookmarkEnd w:id="1"/>
    </w:p>
    <w:p w14:paraId="7DB873F0" w14:textId="77777777" w:rsidR="0008748A" w:rsidRDefault="0008748A" w:rsidP="00996184">
      <w:pPr>
        <w:rPr>
          <w:lang w:val="en-GB" w:eastAsia="ja-JP"/>
        </w:rPr>
      </w:pPr>
    </w:p>
    <w:p w14:paraId="313F85D2" w14:textId="0BE3DD2D" w:rsidR="00996184" w:rsidRPr="00B26E68" w:rsidRDefault="00996184" w:rsidP="00996184">
      <w:pPr>
        <w:rPr>
          <w:u w:val="single"/>
          <w:lang w:val="en-GB" w:eastAsia="ja-JP"/>
        </w:rPr>
      </w:pPr>
      <w:r w:rsidRPr="00B26E68">
        <w:rPr>
          <w:u w:val="single"/>
          <w:lang w:val="en-GB" w:eastAsia="ja-JP"/>
        </w:rPr>
        <w:t xml:space="preserve">Energy </w:t>
      </w:r>
      <w:r w:rsidR="00762ECE" w:rsidRPr="00B26E68">
        <w:rPr>
          <w:u w:val="single"/>
          <w:lang w:val="en-GB" w:eastAsia="ja-JP"/>
        </w:rPr>
        <w:t>aspects</w:t>
      </w:r>
    </w:p>
    <w:p w14:paraId="3FA8AF82" w14:textId="542F15F4" w:rsidR="00762ECE" w:rsidRDefault="00B26E68" w:rsidP="00996184">
      <w:pPr>
        <w:rPr>
          <w:lang w:val="en-GB" w:eastAsia="ja-JP"/>
        </w:rPr>
      </w:pPr>
      <w:r>
        <w:rPr>
          <w:lang w:val="en-GB" w:eastAsia="ja-JP"/>
        </w:rPr>
        <w:lastRenderedPageBreak/>
        <w:t>Energy saving is of key importance to operators in terms of both their operating costs and environmental commitments.</w:t>
      </w:r>
      <w:r w:rsidR="003D2F33">
        <w:rPr>
          <w:lang w:val="en-GB" w:eastAsia="ja-JP"/>
        </w:rPr>
        <w:t xml:space="preserve"> By potentially increasing coverage, SBFD may have the potential to reduce overall network energy footprint. On the other hand, aspects needed for SBFD such as additional signal processing for cancellation, more linear PA or LNA operation, larger receiver dynamic range etc. may increase the energy consumption of each individual </w:t>
      </w:r>
      <w:proofErr w:type="spellStart"/>
      <w:r w:rsidR="003D2F33">
        <w:rPr>
          <w:lang w:val="en-GB" w:eastAsia="ja-JP"/>
        </w:rPr>
        <w:t>basestation</w:t>
      </w:r>
      <w:proofErr w:type="spellEnd"/>
      <w:r w:rsidR="003D2F33">
        <w:rPr>
          <w:lang w:val="en-GB" w:eastAsia="ja-JP"/>
        </w:rPr>
        <w:t>.</w:t>
      </w:r>
    </w:p>
    <w:p w14:paraId="2D6A0BDB" w14:textId="74490546" w:rsidR="006820D2" w:rsidRDefault="006820D2" w:rsidP="00996184">
      <w:pPr>
        <w:rPr>
          <w:lang w:val="en-GB" w:eastAsia="ja-JP"/>
        </w:rPr>
      </w:pPr>
      <w:r>
        <w:rPr>
          <w:lang w:val="en-GB" w:eastAsia="ja-JP"/>
        </w:rPr>
        <w:t>A detailed analysis of node and network level energy consumption based on an agreed metric is not really in the scope of the duplexing SI and should be left for an investigation on network energy. However, it is of high importance that the impact on energy consumption is not completely ignored during the SI. As a minimum, the potential sources of reduction and increase of energy consumption should be understood at a qualitative level and documented.</w:t>
      </w:r>
    </w:p>
    <w:p w14:paraId="305C4CFC" w14:textId="6A63BE33" w:rsidR="008E10F5" w:rsidRDefault="008E10F5" w:rsidP="008E10F5">
      <w:pPr>
        <w:pStyle w:val="Proposal"/>
        <w:rPr>
          <w:lang w:val="en-GB"/>
        </w:rPr>
      </w:pPr>
      <w:bookmarkStart w:id="2" w:name="_Toc115107058"/>
      <w:r>
        <w:rPr>
          <w:lang w:val="en-GB"/>
        </w:rPr>
        <w:t>Sources of energy gain and loss to be documented in a qualitative manner</w:t>
      </w:r>
      <w:bookmarkEnd w:id="2"/>
    </w:p>
    <w:p w14:paraId="45E73815" w14:textId="77777777" w:rsidR="006820D2" w:rsidRDefault="006820D2" w:rsidP="00996184">
      <w:pPr>
        <w:rPr>
          <w:lang w:val="en-GB" w:eastAsia="ja-JP"/>
        </w:rPr>
      </w:pPr>
    </w:p>
    <w:p w14:paraId="5A218E0D" w14:textId="525F512C" w:rsidR="00762ECE" w:rsidRDefault="00762ECE" w:rsidP="00996184">
      <w:pPr>
        <w:rPr>
          <w:u w:val="single"/>
          <w:lang w:val="en-GB" w:eastAsia="ja-JP"/>
        </w:rPr>
      </w:pPr>
      <w:r w:rsidRPr="006820D2">
        <w:rPr>
          <w:u w:val="single"/>
          <w:lang w:val="en-GB" w:eastAsia="ja-JP"/>
        </w:rPr>
        <w:t>Site deployment aspects</w:t>
      </w:r>
    </w:p>
    <w:p w14:paraId="2DB9F321" w14:textId="1F2FAE08" w:rsidR="006820D2" w:rsidRDefault="006820D2" w:rsidP="00996184">
      <w:pPr>
        <w:rPr>
          <w:lang w:val="en-GB" w:eastAsia="ja-JP"/>
        </w:rPr>
      </w:pPr>
      <w:r>
        <w:rPr>
          <w:lang w:val="en-GB" w:eastAsia="ja-JP"/>
        </w:rPr>
        <w:t xml:space="preserve">If a </w:t>
      </w:r>
      <w:proofErr w:type="spellStart"/>
      <w:r>
        <w:rPr>
          <w:lang w:val="en-GB" w:eastAsia="ja-JP"/>
        </w:rPr>
        <w:t>gNB</w:t>
      </w:r>
      <w:proofErr w:type="spellEnd"/>
      <w:r>
        <w:rPr>
          <w:lang w:val="en-GB" w:eastAsia="ja-JP"/>
        </w:rPr>
        <w:t xml:space="preserve"> supports SBFD then it needs to separate TX and RX antenna panels and to provide an isolation structure in-between. </w:t>
      </w:r>
      <w:r w:rsidR="0048106A">
        <w:rPr>
          <w:lang w:val="en-GB" w:eastAsia="ja-JP"/>
        </w:rPr>
        <w:t xml:space="preserve">If the physical size of the </w:t>
      </w:r>
      <w:proofErr w:type="spellStart"/>
      <w:r w:rsidR="0048106A">
        <w:rPr>
          <w:lang w:val="en-GB" w:eastAsia="ja-JP"/>
        </w:rPr>
        <w:t>gNB</w:t>
      </w:r>
      <w:proofErr w:type="spellEnd"/>
      <w:r w:rsidR="0048106A">
        <w:rPr>
          <w:lang w:val="en-GB" w:eastAsia="ja-JP"/>
        </w:rPr>
        <w:t xml:space="preserve"> is kept </w:t>
      </w:r>
      <w:proofErr w:type="gramStart"/>
      <w:r w:rsidR="0048106A">
        <w:rPr>
          <w:lang w:val="en-GB" w:eastAsia="ja-JP"/>
        </w:rPr>
        <w:t>to be</w:t>
      </w:r>
      <w:proofErr w:type="gramEnd"/>
      <w:r w:rsidR="0048106A">
        <w:rPr>
          <w:lang w:val="en-GB" w:eastAsia="ja-JP"/>
        </w:rPr>
        <w:t xml:space="preserve"> the same as non-SBFD </w:t>
      </w:r>
      <w:proofErr w:type="spellStart"/>
      <w:r w:rsidR="0048106A">
        <w:rPr>
          <w:lang w:val="en-GB" w:eastAsia="ja-JP"/>
        </w:rPr>
        <w:t>gNB</w:t>
      </w:r>
      <w:proofErr w:type="spellEnd"/>
      <w:r w:rsidR="0048106A">
        <w:rPr>
          <w:lang w:val="en-GB" w:eastAsia="ja-JP"/>
        </w:rPr>
        <w:t xml:space="preserve"> then this implies that the antenna gain in each of the TX and RX directions is reduced by at least 3dB</w:t>
      </w:r>
      <w:r w:rsidR="00845BB8">
        <w:rPr>
          <w:lang w:val="en-GB" w:eastAsia="ja-JP"/>
        </w:rPr>
        <w:t xml:space="preserve">. Alternatively, the physical size of the </w:t>
      </w:r>
      <w:proofErr w:type="spellStart"/>
      <w:r w:rsidR="00845BB8">
        <w:rPr>
          <w:lang w:val="en-GB" w:eastAsia="ja-JP"/>
        </w:rPr>
        <w:t>gNB</w:t>
      </w:r>
      <w:proofErr w:type="spellEnd"/>
      <w:r w:rsidR="00845BB8">
        <w:rPr>
          <w:lang w:val="en-GB" w:eastAsia="ja-JP"/>
        </w:rPr>
        <w:t xml:space="preserve"> can be increased to more than double that of a non-SBFD </w:t>
      </w:r>
      <w:proofErr w:type="spellStart"/>
      <w:r w:rsidR="00845BB8">
        <w:rPr>
          <w:lang w:val="en-GB" w:eastAsia="ja-JP"/>
        </w:rPr>
        <w:t>gNB</w:t>
      </w:r>
      <w:proofErr w:type="spellEnd"/>
      <w:r w:rsidR="00845BB8">
        <w:rPr>
          <w:lang w:val="en-GB" w:eastAsia="ja-JP"/>
        </w:rPr>
        <w:t xml:space="preserve"> (</w:t>
      </w:r>
      <w:proofErr w:type="gramStart"/>
      <w:r w:rsidR="00845BB8">
        <w:rPr>
          <w:lang w:val="en-GB" w:eastAsia="ja-JP"/>
        </w:rPr>
        <w:t>i.e.</w:t>
      </w:r>
      <w:proofErr w:type="gramEnd"/>
      <w:r w:rsidR="00845BB8">
        <w:rPr>
          <w:lang w:val="en-GB" w:eastAsia="ja-JP"/>
        </w:rPr>
        <w:t xml:space="preserve"> 2 panels plus isolation structure). </w:t>
      </w:r>
    </w:p>
    <w:p w14:paraId="03342A66" w14:textId="0F849993" w:rsidR="00E93818" w:rsidRDefault="00E93818" w:rsidP="00996184">
      <w:pPr>
        <w:rPr>
          <w:lang w:val="en-GB" w:eastAsia="ja-JP"/>
        </w:rPr>
      </w:pPr>
      <w:r>
        <w:rPr>
          <w:lang w:val="en-GB" w:eastAsia="ja-JP"/>
        </w:rPr>
        <w:t xml:space="preserve">In some bands, </w:t>
      </w:r>
      <w:proofErr w:type="gramStart"/>
      <w:r>
        <w:rPr>
          <w:lang w:val="en-GB" w:eastAsia="ja-JP"/>
        </w:rPr>
        <w:t>in particular in</w:t>
      </w:r>
      <w:proofErr w:type="gramEnd"/>
      <w:r>
        <w:rPr>
          <w:lang w:val="en-GB" w:eastAsia="ja-JP"/>
        </w:rPr>
        <w:t xml:space="preserve"> FR2 it may be that the increase in size and weight of the BS </w:t>
      </w:r>
      <w:r w:rsidR="000F7344">
        <w:rPr>
          <w:lang w:val="en-GB" w:eastAsia="ja-JP"/>
        </w:rPr>
        <w:t xml:space="preserve">if the size is doubled is of low consequence. In other situations, however </w:t>
      </w:r>
      <w:proofErr w:type="gramStart"/>
      <w:r w:rsidR="000F7344">
        <w:rPr>
          <w:lang w:val="en-GB" w:eastAsia="ja-JP"/>
        </w:rPr>
        <w:t>it</w:t>
      </w:r>
      <w:proofErr w:type="gramEnd"/>
      <w:r w:rsidR="000F7344">
        <w:rPr>
          <w:lang w:val="en-GB" w:eastAsia="ja-JP"/>
        </w:rPr>
        <w:t xml:space="preserve"> main impact site logistics, </w:t>
      </w:r>
      <w:r w:rsidR="00F06879">
        <w:rPr>
          <w:lang w:val="en-GB" w:eastAsia="ja-JP"/>
        </w:rPr>
        <w:t xml:space="preserve">wind load, </w:t>
      </w:r>
      <w:r w:rsidR="000F7344">
        <w:rPr>
          <w:lang w:val="en-GB" w:eastAsia="ja-JP"/>
        </w:rPr>
        <w:t>rental an</w:t>
      </w:r>
      <w:r w:rsidR="00A25AEA">
        <w:rPr>
          <w:lang w:val="en-GB" w:eastAsia="ja-JP"/>
        </w:rPr>
        <w:t xml:space="preserve">d zoning. The potential impacts of an increase of </w:t>
      </w:r>
      <w:proofErr w:type="spellStart"/>
      <w:r w:rsidR="00A25AEA">
        <w:rPr>
          <w:lang w:val="en-GB" w:eastAsia="ja-JP"/>
        </w:rPr>
        <w:t>gNB</w:t>
      </w:r>
      <w:proofErr w:type="spellEnd"/>
      <w:r w:rsidR="00A25AEA">
        <w:rPr>
          <w:lang w:val="en-GB" w:eastAsia="ja-JP"/>
        </w:rPr>
        <w:t xml:space="preserve"> size on operator deployment should be considered and noted as part of the study.</w:t>
      </w:r>
    </w:p>
    <w:p w14:paraId="6D045738" w14:textId="086F273E" w:rsidR="008E10F5" w:rsidRDefault="008E10F5" w:rsidP="008E10F5">
      <w:pPr>
        <w:pStyle w:val="Proposal"/>
        <w:rPr>
          <w:lang w:val="en-GB"/>
        </w:rPr>
      </w:pPr>
      <w:bookmarkStart w:id="3" w:name="_Toc115107059"/>
      <w:r>
        <w:rPr>
          <w:lang w:val="en-GB"/>
        </w:rPr>
        <w:t xml:space="preserve">Impacts to site logistics of any increases in </w:t>
      </w:r>
      <w:proofErr w:type="spellStart"/>
      <w:r>
        <w:rPr>
          <w:lang w:val="en-GB"/>
        </w:rPr>
        <w:t>gNB</w:t>
      </w:r>
      <w:proofErr w:type="spellEnd"/>
      <w:r>
        <w:rPr>
          <w:lang w:val="en-GB"/>
        </w:rPr>
        <w:t xml:space="preserve"> size to be documented in a qualitative manner.</w:t>
      </w:r>
      <w:bookmarkEnd w:id="3"/>
    </w:p>
    <w:p w14:paraId="2B411D63" w14:textId="77777777" w:rsidR="008E10F5" w:rsidRDefault="008E10F5" w:rsidP="008E10F5">
      <w:pPr>
        <w:pStyle w:val="Proposal"/>
        <w:numPr>
          <w:ilvl w:val="0"/>
          <w:numId w:val="0"/>
        </w:numPr>
        <w:ind w:left="1701"/>
        <w:rPr>
          <w:lang w:val="en-GB"/>
        </w:rPr>
      </w:pPr>
    </w:p>
    <w:p w14:paraId="790A5BB3" w14:textId="7C112AB7" w:rsidR="000B0B77" w:rsidRDefault="000B0B77" w:rsidP="00996184">
      <w:pPr>
        <w:rPr>
          <w:lang w:val="en-GB" w:eastAsia="ja-JP"/>
        </w:rPr>
      </w:pPr>
      <w:r>
        <w:rPr>
          <w:lang w:val="en-GB" w:eastAsia="ja-JP"/>
        </w:rPr>
        <w:t xml:space="preserve">Studies in RAN1 and RAN4 have shown that for multi-sector deployments, interference from the DL sub-bands of other sectors may have a very significant impact on SBFD performance. </w:t>
      </w:r>
      <w:r w:rsidR="00D649F4">
        <w:rPr>
          <w:lang w:val="en-GB" w:eastAsia="ja-JP"/>
        </w:rPr>
        <w:t>During RAN4#104bis, it was suggested that installation of isolating materials at the site may be a means to mitigate this interference. Apart from the performance of the solutions, the impact to site logistics should be considered, such as</w:t>
      </w:r>
      <w:r w:rsidR="00F06879">
        <w:rPr>
          <w:lang w:val="en-GB" w:eastAsia="ja-JP"/>
        </w:rPr>
        <w:t xml:space="preserve"> deployment complexity, zoning considerations, wind load impacts, durability and fragility of the isolation materials</w:t>
      </w:r>
      <w:r w:rsidR="00B61AF6">
        <w:rPr>
          <w:lang w:val="en-GB" w:eastAsia="ja-JP"/>
        </w:rPr>
        <w:t>, weight etc. These site considerations may have a significant impact for some types of deployment.</w:t>
      </w:r>
    </w:p>
    <w:p w14:paraId="39A0A0D2" w14:textId="1A79CA3C" w:rsidR="008E10F5" w:rsidRPr="006820D2" w:rsidRDefault="008E10F5" w:rsidP="008E10F5">
      <w:pPr>
        <w:pStyle w:val="Proposal"/>
        <w:rPr>
          <w:lang w:val="en-GB"/>
        </w:rPr>
      </w:pPr>
      <w:bookmarkStart w:id="4" w:name="_Toc115107060"/>
      <w:r>
        <w:rPr>
          <w:lang w:val="en-GB"/>
        </w:rPr>
        <w:t>Schemes to mitigate inter-sector interference should describe impact to site aspects such as deployment complexity, wind load, zoning, isolating material weather durability etc.</w:t>
      </w:r>
      <w:bookmarkEnd w:id="4"/>
    </w:p>
    <w:p w14:paraId="03DACC5B" w14:textId="7BDE6DA9" w:rsidR="00762ECE" w:rsidRDefault="00762ECE" w:rsidP="00996184">
      <w:pPr>
        <w:rPr>
          <w:lang w:val="en-GB" w:eastAsia="ja-JP"/>
        </w:rPr>
      </w:pPr>
    </w:p>
    <w:p w14:paraId="1F21EBDA" w14:textId="35D3F80B" w:rsidR="00762ECE" w:rsidRDefault="00762ECE" w:rsidP="00996184">
      <w:pPr>
        <w:rPr>
          <w:u w:val="single"/>
          <w:lang w:val="en-GB" w:eastAsia="ja-JP"/>
        </w:rPr>
      </w:pPr>
      <w:r w:rsidRPr="00B61AF6">
        <w:rPr>
          <w:u w:val="single"/>
          <w:lang w:val="en-GB" w:eastAsia="ja-JP"/>
        </w:rPr>
        <w:t>Multi-carrier and multi-band operation</w:t>
      </w:r>
    </w:p>
    <w:p w14:paraId="1FDF90A5" w14:textId="5A455794" w:rsidR="00B61AF6" w:rsidRDefault="00B61AF6" w:rsidP="00996184">
      <w:pPr>
        <w:rPr>
          <w:lang w:val="en-GB" w:eastAsia="ja-JP"/>
        </w:rPr>
      </w:pPr>
      <w:r>
        <w:rPr>
          <w:lang w:val="en-GB" w:eastAsia="ja-JP"/>
        </w:rPr>
        <w:t xml:space="preserve">Due to the large and diverse </w:t>
      </w:r>
      <w:r w:rsidR="00AF3767">
        <w:rPr>
          <w:lang w:val="en-GB" w:eastAsia="ja-JP"/>
        </w:rPr>
        <w:t xml:space="preserve">spectrum and band arrangements for 5G, it is of high importance to support multiple carriers, bands and RATs with </w:t>
      </w:r>
      <w:r w:rsidR="00151F6C">
        <w:rPr>
          <w:lang w:val="en-GB" w:eastAsia="ja-JP"/>
        </w:rPr>
        <w:t xml:space="preserve">simple site complexity and manageable form factors. Much of the analysis for SBFD has focussed on a single carrier scenario. However, mounting a BS for a single carrier only is likely to be </w:t>
      </w:r>
      <w:r w:rsidR="0076767F">
        <w:rPr>
          <w:lang w:val="en-GB" w:eastAsia="ja-JP"/>
        </w:rPr>
        <w:t>highly undesirable for many scenarios. Some potential issues to consider for multi-carrier operation are as follows:</w:t>
      </w:r>
    </w:p>
    <w:p w14:paraId="313DB5B6" w14:textId="71A60476" w:rsidR="0076767F" w:rsidRDefault="0076767F" w:rsidP="0076767F">
      <w:pPr>
        <w:pStyle w:val="ListParagraph"/>
        <w:numPr>
          <w:ilvl w:val="0"/>
          <w:numId w:val="23"/>
        </w:numPr>
        <w:rPr>
          <w:lang w:val="en-GB" w:eastAsia="ja-JP"/>
        </w:rPr>
      </w:pPr>
      <w:r>
        <w:rPr>
          <w:lang w:val="en-GB" w:eastAsia="ja-JP"/>
        </w:rPr>
        <w:t xml:space="preserve">A multi-carrier and/or multi-band BS needs to perform PA linearization over </w:t>
      </w:r>
      <w:proofErr w:type="gramStart"/>
      <w:r>
        <w:rPr>
          <w:lang w:val="en-GB" w:eastAsia="ja-JP"/>
        </w:rPr>
        <w:t>all of</w:t>
      </w:r>
      <w:proofErr w:type="gramEnd"/>
      <w:r>
        <w:rPr>
          <w:lang w:val="en-GB" w:eastAsia="ja-JP"/>
        </w:rPr>
        <w:t xml:space="preserve"> the carriers, which changes the nature of the signal that needs to be cancelled by an interference </w:t>
      </w:r>
      <w:r w:rsidR="00D15431">
        <w:rPr>
          <w:lang w:val="en-GB" w:eastAsia="ja-JP"/>
        </w:rPr>
        <w:t>cancellation</w:t>
      </w:r>
      <w:r>
        <w:rPr>
          <w:lang w:val="en-GB" w:eastAsia="ja-JP"/>
        </w:rPr>
        <w:t xml:space="preserve"> algorithm.</w:t>
      </w:r>
    </w:p>
    <w:p w14:paraId="02C2D7F6" w14:textId="4B0C590E" w:rsidR="0076767F" w:rsidRDefault="0076767F" w:rsidP="0076767F">
      <w:pPr>
        <w:pStyle w:val="ListParagraph"/>
        <w:numPr>
          <w:ilvl w:val="0"/>
          <w:numId w:val="23"/>
        </w:numPr>
        <w:rPr>
          <w:lang w:val="en-GB" w:eastAsia="ja-JP"/>
        </w:rPr>
      </w:pPr>
      <w:r>
        <w:rPr>
          <w:lang w:val="en-GB" w:eastAsia="ja-JP"/>
        </w:rPr>
        <w:t xml:space="preserve">TX-RX isolation needs to be obtained with respect to all carriers transmitted by the BS. This means that the bandwidth over which the isolation is obtained needs to be sufficient wide to cover all </w:t>
      </w:r>
      <w:proofErr w:type="spellStart"/>
      <w:r>
        <w:rPr>
          <w:lang w:val="en-GB" w:eastAsia="ja-JP"/>
        </w:rPr>
        <w:t>cariers</w:t>
      </w:r>
      <w:proofErr w:type="spellEnd"/>
      <w:r>
        <w:rPr>
          <w:lang w:val="en-GB" w:eastAsia="ja-JP"/>
        </w:rPr>
        <w:t>.</w:t>
      </w:r>
    </w:p>
    <w:p w14:paraId="33C15244" w14:textId="23EFE25D" w:rsidR="0076767F" w:rsidRPr="0076767F" w:rsidRDefault="0076767F" w:rsidP="0076767F">
      <w:pPr>
        <w:pStyle w:val="ListParagraph"/>
        <w:numPr>
          <w:ilvl w:val="1"/>
          <w:numId w:val="23"/>
        </w:numPr>
        <w:rPr>
          <w:lang w:val="en-GB" w:eastAsia="ja-JP"/>
        </w:rPr>
      </w:pPr>
      <w:r>
        <w:rPr>
          <w:lang w:val="en-GB" w:eastAsia="ja-JP"/>
        </w:rPr>
        <w:lastRenderedPageBreak/>
        <w:t xml:space="preserve">To provide economies of scale, the TX-RX isolation needs to be achieved over the whole of the 3GPP band. This enables </w:t>
      </w:r>
      <w:proofErr w:type="spellStart"/>
      <w:r>
        <w:rPr>
          <w:lang w:val="en-GB" w:eastAsia="ja-JP"/>
        </w:rPr>
        <w:t>basestations</w:t>
      </w:r>
      <w:proofErr w:type="spellEnd"/>
      <w:r>
        <w:rPr>
          <w:lang w:val="en-GB" w:eastAsia="ja-JP"/>
        </w:rPr>
        <w:t xml:space="preserve"> to be built that can be configured according to operator’s spectrum needs and re-configured when needed. The alternative would be </w:t>
      </w:r>
      <w:proofErr w:type="spellStart"/>
      <w:r>
        <w:rPr>
          <w:lang w:val="en-GB" w:eastAsia="ja-JP"/>
        </w:rPr>
        <w:t>basestations</w:t>
      </w:r>
      <w:proofErr w:type="spellEnd"/>
      <w:r>
        <w:rPr>
          <w:lang w:val="en-GB" w:eastAsia="ja-JP"/>
        </w:rPr>
        <w:t xml:space="preserve"> with bespoke, operator specific antenna designs</w:t>
      </w:r>
      <w:r w:rsidR="00E1465F">
        <w:rPr>
          <w:lang w:val="en-GB" w:eastAsia="ja-JP"/>
        </w:rPr>
        <w:t xml:space="preserve"> that would need to be optimized for each spectrum situation and which would be inflexible once deployed, needing BS replacement to change any carrier configuration.</w:t>
      </w:r>
    </w:p>
    <w:p w14:paraId="19908AD7" w14:textId="77777777" w:rsidR="008E10F5" w:rsidRDefault="008E10F5" w:rsidP="008E10F5">
      <w:pPr>
        <w:rPr>
          <w:lang w:val="en-GB" w:eastAsia="ja-JP"/>
        </w:rPr>
      </w:pPr>
    </w:p>
    <w:p w14:paraId="66444150" w14:textId="77777777" w:rsidR="008E10F5" w:rsidRDefault="008E10F5" w:rsidP="008E10F5">
      <w:pPr>
        <w:rPr>
          <w:lang w:val="en-GB" w:eastAsia="ja-JP"/>
        </w:rPr>
      </w:pPr>
    </w:p>
    <w:p w14:paraId="0212C721" w14:textId="77777777" w:rsidR="008E10F5" w:rsidRDefault="00E27C6A" w:rsidP="008E10F5">
      <w:pPr>
        <w:pStyle w:val="Proposal"/>
        <w:rPr>
          <w:lang w:val="en-GB"/>
        </w:rPr>
      </w:pPr>
      <w:bookmarkStart w:id="5" w:name="_Toc115107061"/>
      <w:r>
        <w:rPr>
          <w:lang w:val="en-GB"/>
        </w:rPr>
        <w:t>Impacts of multi-carrier and multi-band operation on SBFD and vice-versa to be studied</w:t>
      </w:r>
      <w:bookmarkEnd w:id="5"/>
    </w:p>
    <w:p w14:paraId="0308756E" w14:textId="77777777" w:rsidR="00E27C6A" w:rsidRDefault="00E27C6A" w:rsidP="00E27C6A">
      <w:pPr>
        <w:pStyle w:val="Proposal"/>
        <w:numPr>
          <w:ilvl w:val="0"/>
          <w:numId w:val="0"/>
        </w:numPr>
        <w:ind w:left="1701" w:hanging="1701"/>
        <w:rPr>
          <w:lang w:val="en-GB"/>
        </w:rPr>
      </w:pPr>
    </w:p>
    <w:p w14:paraId="3879E8F8" w14:textId="164DF873" w:rsidR="00E27C6A" w:rsidRPr="008E10F5" w:rsidRDefault="00E27C6A" w:rsidP="00E27C6A">
      <w:pPr>
        <w:pStyle w:val="Proposal"/>
        <w:rPr>
          <w:lang w:val="en-GB"/>
        </w:rPr>
        <w:sectPr w:rsidR="00E27C6A" w:rsidRPr="008E10F5" w:rsidSect="00E27C6A">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bookmarkStart w:id="6" w:name="_Toc115107062"/>
      <w:r>
        <w:rPr>
          <w:lang w:val="en-GB"/>
        </w:rPr>
        <w:t>Antenna isolation, interference suppression etc. needs to be achievable across the whole 3GPP band in general</w:t>
      </w:r>
      <w:bookmarkEnd w:id="6"/>
    </w:p>
    <w:p w14:paraId="37EB5693" w14:textId="77777777" w:rsidR="00C01F33" w:rsidRPr="00CE0424" w:rsidRDefault="00C01F33" w:rsidP="00CE0424">
      <w:pPr>
        <w:pStyle w:val="Heading1"/>
      </w:pPr>
      <w:r w:rsidRPr="00CE0424">
        <w:lastRenderedPageBreak/>
        <w:t>Conclusion</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5B31D69" w14:textId="13F1B061" w:rsidR="0020436E"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15107057" w:history="1">
        <w:r w:rsidR="0020436E" w:rsidRPr="007536FB">
          <w:rPr>
            <w:rStyle w:val="Hyperlink"/>
            <w:noProof/>
            <w:lang w:val="en-GB"/>
          </w:rPr>
          <w:t>Proposal 1</w:t>
        </w:r>
        <w:r w:rsidR="0020436E">
          <w:rPr>
            <w:rFonts w:asciiTheme="minorHAnsi" w:eastAsiaTheme="minorEastAsia" w:hAnsiTheme="minorHAnsi"/>
            <w:b w:val="0"/>
            <w:noProof/>
            <w:sz w:val="22"/>
            <w:lang w:val="en-SE" w:eastAsia="en-SE"/>
          </w:rPr>
          <w:tab/>
        </w:r>
        <w:r w:rsidR="0020436E" w:rsidRPr="007536FB">
          <w:rPr>
            <w:rStyle w:val="Hyperlink"/>
            <w:noProof/>
            <w:lang w:val="en-GB"/>
          </w:rPr>
          <w:t>Frameworks and model for TX and RX processes to be agreed in order to properly assess interference suppression and cancellation gains</w:t>
        </w:r>
      </w:hyperlink>
    </w:p>
    <w:p w14:paraId="637C0462" w14:textId="682968D2" w:rsidR="0020436E" w:rsidRDefault="00824F4C">
      <w:pPr>
        <w:pStyle w:val="TableofFigures"/>
        <w:tabs>
          <w:tab w:val="right" w:leader="dot" w:pos="9629"/>
        </w:tabs>
        <w:rPr>
          <w:rFonts w:asciiTheme="minorHAnsi" w:eastAsiaTheme="minorEastAsia" w:hAnsiTheme="minorHAnsi"/>
          <w:b w:val="0"/>
          <w:noProof/>
          <w:sz w:val="22"/>
          <w:lang w:val="en-SE" w:eastAsia="en-SE"/>
        </w:rPr>
      </w:pPr>
      <w:hyperlink w:anchor="_Toc115107058" w:history="1">
        <w:r w:rsidR="0020436E" w:rsidRPr="007536FB">
          <w:rPr>
            <w:rStyle w:val="Hyperlink"/>
            <w:noProof/>
            <w:lang w:val="en-GB"/>
          </w:rPr>
          <w:t>Proposal 2</w:t>
        </w:r>
        <w:r w:rsidR="0020436E">
          <w:rPr>
            <w:rFonts w:asciiTheme="minorHAnsi" w:eastAsiaTheme="minorEastAsia" w:hAnsiTheme="minorHAnsi"/>
            <w:b w:val="0"/>
            <w:noProof/>
            <w:sz w:val="22"/>
            <w:lang w:val="en-SE" w:eastAsia="en-SE"/>
          </w:rPr>
          <w:tab/>
        </w:r>
        <w:r w:rsidR="0020436E" w:rsidRPr="007536FB">
          <w:rPr>
            <w:rStyle w:val="Hyperlink"/>
            <w:noProof/>
            <w:lang w:val="en-GB"/>
          </w:rPr>
          <w:t>Sources of energy gain and loss to be documented in a qualitative manner</w:t>
        </w:r>
      </w:hyperlink>
    </w:p>
    <w:p w14:paraId="27C10922" w14:textId="040C0E59" w:rsidR="0020436E" w:rsidRDefault="00824F4C">
      <w:pPr>
        <w:pStyle w:val="TableofFigures"/>
        <w:tabs>
          <w:tab w:val="right" w:leader="dot" w:pos="9629"/>
        </w:tabs>
        <w:rPr>
          <w:rFonts w:asciiTheme="minorHAnsi" w:eastAsiaTheme="minorEastAsia" w:hAnsiTheme="minorHAnsi"/>
          <w:b w:val="0"/>
          <w:noProof/>
          <w:sz w:val="22"/>
          <w:lang w:val="en-SE" w:eastAsia="en-SE"/>
        </w:rPr>
      </w:pPr>
      <w:hyperlink w:anchor="_Toc115107059" w:history="1">
        <w:r w:rsidR="0020436E" w:rsidRPr="007536FB">
          <w:rPr>
            <w:rStyle w:val="Hyperlink"/>
            <w:noProof/>
            <w:lang w:val="en-GB"/>
          </w:rPr>
          <w:t>Proposal 3</w:t>
        </w:r>
        <w:r w:rsidR="0020436E">
          <w:rPr>
            <w:rFonts w:asciiTheme="minorHAnsi" w:eastAsiaTheme="minorEastAsia" w:hAnsiTheme="minorHAnsi"/>
            <w:b w:val="0"/>
            <w:noProof/>
            <w:sz w:val="22"/>
            <w:lang w:val="en-SE" w:eastAsia="en-SE"/>
          </w:rPr>
          <w:tab/>
        </w:r>
        <w:r w:rsidR="0020436E" w:rsidRPr="007536FB">
          <w:rPr>
            <w:rStyle w:val="Hyperlink"/>
            <w:noProof/>
            <w:lang w:val="en-GB"/>
          </w:rPr>
          <w:t>Impacts to site logistics of any increases in gNB size to be documented in a qualitative manner.</w:t>
        </w:r>
      </w:hyperlink>
    </w:p>
    <w:p w14:paraId="3388158D" w14:textId="58ACC3E2" w:rsidR="0020436E" w:rsidRDefault="00824F4C">
      <w:pPr>
        <w:pStyle w:val="TableofFigures"/>
        <w:tabs>
          <w:tab w:val="right" w:leader="dot" w:pos="9629"/>
        </w:tabs>
        <w:rPr>
          <w:rFonts w:asciiTheme="minorHAnsi" w:eastAsiaTheme="minorEastAsia" w:hAnsiTheme="minorHAnsi"/>
          <w:b w:val="0"/>
          <w:noProof/>
          <w:sz w:val="22"/>
          <w:lang w:val="en-SE" w:eastAsia="en-SE"/>
        </w:rPr>
      </w:pPr>
      <w:hyperlink w:anchor="_Toc115107060" w:history="1">
        <w:r w:rsidR="0020436E" w:rsidRPr="007536FB">
          <w:rPr>
            <w:rStyle w:val="Hyperlink"/>
            <w:noProof/>
            <w:lang w:val="en-GB"/>
          </w:rPr>
          <w:t>Proposal 4</w:t>
        </w:r>
        <w:r w:rsidR="0020436E">
          <w:rPr>
            <w:rFonts w:asciiTheme="minorHAnsi" w:eastAsiaTheme="minorEastAsia" w:hAnsiTheme="minorHAnsi"/>
            <w:b w:val="0"/>
            <w:noProof/>
            <w:sz w:val="22"/>
            <w:lang w:val="en-SE" w:eastAsia="en-SE"/>
          </w:rPr>
          <w:tab/>
        </w:r>
        <w:r w:rsidR="0020436E" w:rsidRPr="007536FB">
          <w:rPr>
            <w:rStyle w:val="Hyperlink"/>
            <w:noProof/>
            <w:lang w:val="en-GB"/>
          </w:rPr>
          <w:t>Schemes to mitigate inter-sector interference should describe impact to site aspects such as deployment complexity, wind load, zoning, isolating material weather durability etc.</w:t>
        </w:r>
      </w:hyperlink>
    </w:p>
    <w:p w14:paraId="06AF7E8B" w14:textId="171CD51E" w:rsidR="0020436E" w:rsidRDefault="00824F4C">
      <w:pPr>
        <w:pStyle w:val="TableofFigures"/>
        <w:tabs>
          <w:tab w:val="right" w:leader="dot" w:pos="9629"/>
        </w:tabs>
        <w:rPr>
          <w:rFonts w:asciiTheme="minorHAnsi" w:eastAsiaTheme="minorEastAsia" w:hAnsiTheme="minorHAnsi"/>
          <w:b w:val="0"/>
          <w:noProof/>
          <w:sz w:val="22"/>
          <w:lang w:val="en-SE" w:eastAsia="en-SE"/>
        </w:rPr>
      </w:pPr>
      <w:hyperlink w:anchor="_Toc115107061" w:history="1">
        <w:r w:rsidR="0020436E" w:rsidRPr="007536FB">
          <w:rPr>
            <w:rStyle w:val="Hyperlink"/>
            <w:noProof/>
            <w:lang w:val="en-GB"/>
          </w:rPr>
          <w:t>Proposal 5</w:t>
        </w:r>
        <w:r w:rsidR="0020436E">
          <w:rPr>
            <w:rFonts w:asciiTheme="minorHAnsi" w:eastAsiaTheme="minorEastAsia" w:hAnsiTheme="minorHAnsi"/>
            <w:b w:val="0"/>
            <w:noProof/>
            <w:sz w:val="22"/>
            <w:lang w:val="en-SE" w:eastAsia="en-SE"/>
          </w:rPr>
          <w:tab/>
        </w:r>
        <w:r w:rsidR="0020436E" w:rsidRPr="007536FB">
          <w:rPr>
            <w:rStyle w:val="Hyperlink"/>
            <w:noProof/>
            <w:lang w:val="en-GB"/>
          </w:rPr>
          <w:t>Impacts of multi-carrier and multi-band operation on SBFD and vice-versa to be studied</w:t>
        </w:r>
      </w:hyperlink>
    </w:p>
    <w:p w14:paraId="15965671" w14:textId="57D8997A" w:rsidR="0020436E" w:rsidRDefault="00824F4C">
      <w:pPr>
        <w:pStyle w:val="TableofFigures"/>
        <w:tabs>
          <w:tab w:val="right" w:leader="dot" w:pos="9629"/>
        </w:tabs>
        <w:rPr>
          <w:rFonts w:asciiTheme="minorHAnsi" w:eastAsiaTheme="minorEastAsia" w:hAnsiTheme="minorHAnsi"/>
          <w:b w:val="0"/>
          <w:noProof/>
          <w:sz w:val="22"/>
          <w:lang w:val="en-SE" w:eastAsia="en-SE"/>
        </w:rPr>
      </w:pPr>
      <w:hyperlink w:anchor="_Toc115107062" w:history="1">
        <w:r w:rsidR="0020436E" w:rsidRPr="007536FB">
          <w:rPr>
            <w:rStyle w:val="Hyperlink"/>
            <w:noProof/>
            <w:lang w:val="en-GB"/>
          </w:rPr>
          <w:t>Proposal 6</w:t>
        </w:r>
        <w:r w:rsidR="0020436E">
          <w:rPr>
            <w:rFonts w:asciiTheme="minorHAnsi" w:eastAsiaTheme="minorEastAsia" w:hAnsiTheme="minorHAnsi"/>
            <w:b w:val="0"/>
            <w:noProof/>
            <w:sz w:val="22"/>
            <w:lang w:val="en-SE" w:eastAsia="en-SE"/>
          </w:rPr>
          <w:tab/>
        </w:r>
        <w:r w:rsidR="0020436E" w:rsidRPr="007536FB">
          <w:rPr>
            <w:rStyle w:val="Hyperlink"/>
            <w:noProof/>
            <w:lang w:val="en-GB"/>
          </w:rPr>
          <w:t>Antenna isolation, interference suppression etc. needs to be achievable across the whole 3GPP band in general</w:t>
        </w:r>
      </w:hyperlink>
    </w:p>
    <w:p w14:paraId="747C743C" w14:textId="437EEC84" w:rsidR="006E1C82" w:rsidRPr="00CE0424" w:rsidRDefault="006E1C82" w:rsidP="006E1C82">
      <w:pPr>
        <w:pStyle w:val="BodyText"/>
        <w:rPr>
          <w:b/>
          <w:bCs/>
        </w:rPr>
      </w:pPr>
      <w:r>
        <w:rPr>
          <w:b/>
          <w:bCs/>
        </w:rPr>
        <w:fldChar w:fldCharType="end"/>
      </w:r>
      <w:r w:rsidRPr="00CE0424">
        <w:rPr>
          <w:b/>
          <w:bCs/>
        </w:rPr>
        <w:t xml:space="preserve"> </w:t>
      </w:r>
    </w:p>
    <w:p w14:paraId="58ACA235" w14:textId="77777777" w:rsidR="00C01F33" w:rsidRPr="00CE0424" w:rsidRDefault="00C01F33" w:rsidP="006E062C"/>
    <w:p w14:paraId="715CA09B" w14:textId="77777777" w:rsidR="003A7EF3" w:rsidRPr="00CE0424" w:rsidRDefault="003A7EF3" w:rsidP="00CE0424">
      <w:pPr>
        <w:pStyle w:val="BodyText"/>
      </w:pPr>
      <w:bookmarkStart w:id="7" w:name="_In-sequence_SDU_delivery"/>
      <w:bookmarkEnd w:id="7"/>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E631" w14:textId="77777777" w:rsidR="002A578E" w:rsidRDefault="002A578E">
      <w:r>
        <w:separator/>
      </w:r>
    </w:p>
  </w:endnote>
  <w:endnote w:type="continuationSeparator" w:id="0">
    <w:p w14:paraId="73BF6D2A" w14:textId="77777777" w:rsidR="002A578E" w:rsidRDefault="002A578E">
      <w:r>
        <w:continuationSeparator/>
      </w:r>
    </w:p>
  </w:endnote>
  <w:endnote w:type="continuationNotice" w:id="1">
    <w:p w14:paraId="06EEFF2E" w14:textId="77777777" w:rsidR="002A578E" w:rsidRDefault="002A57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9EC41" w14:textId="77777777" w:rsidR="002A578E" w:rsidRDefault="002A578E">
      <w:r>
        <w:separator/>
      </w:r>
    </w:p>
  </w:footnote>
  <w:footnote w:type="continuationSeparator" w:id="0">
    <w:p w14:paraId="429794DD" w14:textId="77777777" w:rsidR="002A578E" w:rsidRDefault="002A578E">
      <w:r>
        <w:continuationSeparator/>
      </w:r>
    </w:p>
  </w:footnote>
  <w:footnote w:type="continuationNotice" w:id="1">
    <w:p w14:paraId="0DDB9D19" w14:textId="77777777" w:rsidR="002A578E" w:rsidRDefault="002A57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70310D"/>
    <w:multiLevelType w:val="hybridMultilevel"/>
    <w:tmpl w:val="0C5EC6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1"/>
  </w:num>
  <w:num w:numId="22">
    <w:abstractNumId w:val="21"/>
  </w:num>
  <w:num w:numId="2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60CC"/>
    <w:rsid w:val="00077E5F"/>
    <w:rsid w:val="0008036A"/>
    <w:rsid w:val="00081AE6"/>
    <w:rsid w:val="000855EB"/>
    <w:rsid w:val="00085B52"/>
    <w:rsid w:val="000866F2"/>
    <w:rsid w:val="0008748A"/>
    <w:rsid w:val="0009009F"/>
    <w:rsid w:val="00091557"/>
    <w:rsid w:val="000924C1"/>
    <w:rsid w:val="000924F0"/>
    <w:rsid w:val="00093474"/>
    <w:rsid w:val="0009510F"/>
    <w:rsid w:val="000A1B7B"/>
    <w:rsid w:val="000A56F2"/>
    <w:rsid w:val="000B0B77"/>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344"/>
    <w:rsid w:val="001005FF"/>
    <w:rsid w:val="0010261C"/>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1F6C"/>
    <w:rsid w:val="001526E0"/>
    <w:rsid w:val="001551B5"/>
    <w:rsid w:val="001659C1"/>
    <w:rsid w:val="00170BE2"/>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436E"/>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8F4"/>
    <w:rsid w:val="00286ACD"/>
    <w:rsid w:val="0028706F"/>
    <w:rsid w:val="00287838"/>
    <w:rsid w:val="002907B5"/>
    <w:rsid w:val="00292EB7"/>
    <w:rsid w:val="00296227"/>
    <w:rsid w:val="00296F44"/>
    <w:rsid w:val="0029777D"/>
    <w:rsid w:val="002A055E"/>
    <w:rsid w:val="002A1D4E"/>
    <w:rsid w:val="002A2869"/>
    <w:rsid w:val="002A2EDD"/>
    <w:rsid w:val="002A578E"/>
    <w:rsid w:val="002B24D6"/>
    <w:rsid w:val="002C41E6"/>
    <w:rsid w:val="002D071A"/>
    <w:rsid w:val="002D34B2"/>
    <w:rsid w:val="002D48B0"/>
    <w:rsid w:val="002D5B37"/>
    <w:rsid w:val="002D7637"/>
    <w:rsid w:val="002E17F2"/>
    <w:rsid w:val="002E7CAE"/>
    <w:rsid w:val="002F13E4"/>
    <w:rsid w:val="002F2771"/>
    <w:rsid w:val="002F37A9"/>
    <w:rsid w:val="002F6B97"/>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2F33"/>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71E8"/>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8106A"/>
    <w:rsid w:val="00492BC5"/>
    <w:rsid w:val="004964F1"/>
    <w:rsid w:val="004A16BC"/>
    <w:rsid w:val="004A2B94"/>
    <w:rsid w:val="004B12A4"/>
    <w:rsid w:val="004B6F6A"/>
    <w:rsid w:val="004B7C0C"/>
    <w:rsid w:val="004C3898"/>
    <w:rsid w:val="004D36B1"/>
    <w:rsid w:val="004D7EBD"/>
    <w:rsid w:val="004E2680"/>
    <w:rsid w:val="004E28F9"/>
    <w:rsid w:val="004E462E"/>
    <w:rsid w:val="004E56DC"/>
    <w:rsid w:val="004E76F4"/>
    <w:rsid w:val="004F0B4E"/>
    <w:rsid w:val="004F0B6C"/>
    <w:rsid w:val="004F2078"/>
    <w:rsid w:val="004F300B"/>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0D2"/>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505"/>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0A6"/>
    <w:rsid w:val="007362A6"/>
    <w:rsid w:val="00736B15"/>
    <w:rsid w:val="00736D7D"/>
    <w:rsid w:val="00740E58"/>
    <w:rsid w:val="007445A0"/>
    <w:rsid w:val="0074524B"/>
    <w:rsid w:val="00747D8B"/>
    <w:rsid w:val="00751228"/>
    <w:rsid w:val="007571E1"/>
    <w:rsid w:val="007604B2"/>
    <w:rsid w:val="00762ECE"/>
    <w:rsid w:val="00765281"/>
    <w:rsid w:val="00766BAD"/>
    <w:rsid w:val="0076767F"/>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4F4C"/>
    <w:rsid w:val="00825C42"/>
    <w:rsid w:val="00825D25"/>
    <w:rsid w:val="00827D6F"/>
    <w:rsid w:val="008376AC"/>
    <w:rsid w:val="008444E8"/>
    <w:rsid w:val="00844E80"/>
    <w:rsid w:val="00845BB8"/>
    <w:rsid w:val="00846FE7"/>
    <w:rsid w:val="00853809"/>
    <w:rsid w:val="00856911"/>
    <w:rsid w:val="00857EFF"/>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A72"/>
    <w:rsid w:val="008C0C99"/>
    <w:rsid w:val="008C2017"/>
    <w:rsid w:val="008C4958"/>
    <w:rsid w:val="008C4BAA"/>
    <w:rsid w:val="008C6AE8"/>
    <w:rsid w:val="008C7573"/>
    <w:rsid w:val="008D00A5"/>
    <w:rsid w:val="008D34F1"/>
    <w:rsid w:val="008D39D8"/>
    <w:rsid w:val="008D6D1A"/>
    <w:rsid w:val="008E065E"/>
    <w:rsid w:val="008E0927"/>
    <w:rsid w:val="008E10F5"/>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0F8"/>
    <w:rsid w:val="0097603D"/>
    <w:rsid w:val="00976949"/>
    <w:rsid w:val="00980477"/>
    <w:rsid w:val="00985253"/>
    <w:rsid w:val="009853B3"/>
    <w:rsid w:val="00990630"/>
    <w:rsid w:val="00991761"/>
    <w:rsid w:val="00994DCA"/>
    <w:rsid w:val="009960EC"/>
    <w:rsid w:val="00996184"/>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1061"/>
    <w:rsid w:val="00A031D8"/>
    <w:rsid w:val="00A048A8"/>
    <w:rsid w:val="00A04F49"/>
    <w:rsid w:val="00A13E54"/>
    <w:rsid w:val="00A17F63"/>
    <w:rsid w:val="00A2193B"/>
    <w:rsid w:val="00A2351A"/>
    <w:rsid w:val="00A25AEA"/>
    <w:rsid w:val="00A264A9"/>
    <w:rsid w:val="00A26DCF"/>
    <w:rsid w:val="00A27785"/>
    <w:rsid w:val="00A30187"/>
    <w:rsid w:val="00A3448A"/>
    <w:rsid w:val="00A36297"/>
    <w:rsid w:val="00A41E2B"/>
    <w:rsid w:val="00A447CE"/>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3767"/>
    <w:rsid w:val="00AF42D7"/>
    <w:rsid w:val="00B006FE"/>
    <w:rsid w:val="00B007CB"/>
    <w:rsid w:val="00B02AA9"/>
    <w:rsid w:val="00B02FA3"/>
    <w:rsid w:val="00B05084"/>
    <w:rsid w:val="00B157F9"/>
    <w:rsid w:val="00B20256"/>
    <w:rsid w:val="00B20D09"/>
    <w:rsid w:val="00B26E68"/>
    <w:rsid w:val="00B2757F"/>
    <w:rsid w:val="00B2763F"/>
    <w:rsid w:val="00B27AAC"/>
    <w:rsid w:val="00B30929"/>
    <w:rsid w:val="00B312A7"/>
    <w:rsid w:val="00B372AA"/>
    <w:rsid w:val="00B40445"/>
    <w:rsid w:val="00B409E0"/>
    <w:rsid w:val="00B41888"/>
    <w:rsid w:val="00B45A52"/>
    <w:rsid w:val="00B46175"/>
    <w:rsid w:val="00B548B7"/>
    <w:rsid w:val="00B61AF6"/>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369B"/>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3B07"/>
    <w:rsid w:val="00D10249"/>
    <w:rsid w:val="00D115C3"/>
    <w:rsid w:val="00D11897"/>
    <w:rsid w:val="00D13135"/>
    <w:rsid w:val="00D13E4E"/>
    <w:rsid w:val="00D15431"/>
    <w:rsid w:val="00D239A7"/>
    <w:rsid w:val="00D23F47"/>
    <w:rsid w:val="00D36E71"/>
    <w:rsid w:val="00D37D87"/>
    <w:rsid w:val="00D40B33"/>
    <w:rsid w:val="00D4318F"/>
    <w:rsid w:val="00D438BF"/>
    <w:rsid w:val="00D440F8"/>
    <w:rsid w:val="00D4554E"/>
    <w:rsid w:val="00D546FF"/>
    <w:rsid w:val="00D55AD5"/>
    <w:rsid w:val="00D576CA"/>
    <w:rsid w:val="00D61AF5"/>
    <w:rsid w:val="00D649F4"/>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465F"/>
    <w:rsid w:val="00E17FA2"/>
    <w:rsid w:val="00E22330"/>
    <w:rsid w:val="00E27C6A"/>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818"/>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879"/>
    <w:rsid w:val="00F06C67"/>
    <w:rsid w:val="00F06DFD"/>
    <w:rsid w:val="00F071D1"/>
    <w:rsid w:val="00F07533"/>
    <w:rsid w:val="00F10629"/>
    <w:rsid w:val="00F15FA5"/>
    <w:rsid w:val="00F209B7"/>
    <w:rsid w:val="00F21685"/>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7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www.w3.org/XML/1998/namespace"/>
    <ds:schemaRef ds:uri="http://schemas.microsoft.com/office/infopath/2007/PartnerControls"/>
    <ds:schemaRef ds:uri="http://purl.org/dc/dcmitype/"/>
    <ds:schemaRef ds:uri="http://schemas.microsoft.com/sharepoint/v3"/>
    <ds:schemaRef ds:uri="9b239327-9e80-40e4-b1b7-4394fed77a33"/>
    <ds:schemaRef ds:uri="http://purl.org/dc/terms/"/>
    <ds:schemaRef ds:uri="http://schemas.openxmlformats.org/package/2006/metadata/core-properties"/>
    <ds:schemaRef ds:uri="http://schemas.microsoft.com/office/2006/documentManagement/types"/>
    <ds:schemaRef ds:uri="d8762117-8292-4133-b1c7-eab5c6487cfd"/>
    <ds:schemaRef ds:uri="2f282d3b-eb4a-4b09-b61f-b9593442e286"/>
    <ds:schemaRef ds:uri="http://purl.org/dc/elements/1.1/"/>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4</Pages>
  <Words>1231</Words>
  <Characters>6736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53</cp:revision>
  <cp:lastPrinted>2008-01-31T16:09:00Z</cp:lastPrinted>
  <dcterms:created xsi:type="dcterms:W3CDTF">2020-08-14T06:21:00Z</dcterms:created>
  <dcterms:modified xsi:type="dcterms:W3CDTF">2022-09-30T15:11:00Z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